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75A" w:rsidRPr="003041FB" w:rsidRDefault="00E0675A" w:rsidP="00E0675A">
      <w:pPr>
        <w:rPr>
          <w:rFonts w:eastAsia="Times New Roman"/>
          <w:b/>
          <w:color w:val="000000"/>
          <w:sz w:val="28"/>
          <w:szCs w:val="28"/>
        </w:rPr>
      </w:pPr>
      <w:r w:rsidRPr="003041FB">
        <w:rPr>
          <w:rFonts w:eastAsia="Times New Roman"/>
          <w:b/>
          <w:color w:val="000000"/>
          <w:sz w:val="28"/>
          <w:szCs w:val="28"/>
        </w:rPr>
        <w:t>March 18, 2014</w:t>
      </w:r>
    </w:p>
    <w:p w:rsidR="00E0675A" w:rsidRPr="003041FB" w:rsidRDefault="00E0675A" w:rsidP="00E0675A">
      <w:pPr>
        <w:rPr>
          <w:rFonts w:eastAsia="Times New Roman"/>
          <w:b/>
          <w:color w:val="000000"/>
          <w:sz w:val="28"/>
          <w:szCs w:val="28"/>
        </w:rPr>
      </w:pPr>
      <w:r w:rsidRPr="003041FB">
        <w:rPr>
          <w:rFonts w:eastAsia="Times New Roman"/>
          <w:b/>
          <w:color w:val="000000"/>
          <w:sz w:val="28"/>
          <w:szCs w:val="28"/>
        </w:rPr>
        <w:t>Office of the Provost</w:t>
      </w:r>
    </w:p>
    <w:p w:rsidR="00E0675A" w:rsidRPr="003041FB" w:rsidRDefault="00E0675A" w:rsidP="00E0675A">
      <w:pPr>
        <w:rPr>
          <w:rFonts w:eastAsia="Times New Roman"/>
          <w:b/>
          <w:color w:val="000000"/>
          <w:sz w:val="28"/>
          <w:szCs w:val="28"/>
        </w:rPr>
      </w:pPr>
    </w:p>
    <w:p w:rsidR="00E0675A" w:rsidRPr="003041FB" w:rsidRDefault="00E0675A" w:rsidP="00E0675A">
      <w:pPr>
        <w:rPr>
          <w:rFonts w:eastAsia="Times New Roman"/>
          <w:b/>
          <w:color w:val="000000"/>
          <w:sz w:val="28"/>
          <w:szCs w:val="28"/>
        </w:rPr>
      </w:pPr>
      <w:r w:rsidRPr="003041FB">
        <w:rPr>
          <w:rFonts w:eastAsia="Times New Roman"/>
          <w:b/>
          <w:color w:val="000000"/>
          <w:sz w:val="28"/>
          <w:szCs w:val="28"/>
        </w:rPr>
        <w:t xml:space="preserve">Responses from the Provost regarding ‘intent to raise questions’ </w:t>
      </w:r>
      <w:r w:rsidR="003041FB">
        <w:rPr>
          <w:rFonts w:eastAsia="Times New Roman"/>
          <w:b/>
          <w:color w:val="000000"/>
          <w:sz w:val="28"/>
          <w:szCs w:val="28"/>
        </w:rPr>
        <w:t>that were asked during</w:t>
      </w:r>
      <w:r w:rsidRPr="003041FB">
        <w:rPr>
          <w:rFonts w:eastAsia="Times New Roman"/>
          <w:b/>
          <w:color w:val="000000"/>
          <w:sz w:val="28"/>
          <w:szCs w:val="28"/>
        </w:rPr>
        <w:t xml:space="preserve"> Academic Senate on February 25, 2014</w:t>
      </w:r>
    </w:p>
    <w:p w:rsidR="00E0675A" w:rsidRDefault="00E0675A" w:rsidP="00E0675A">
      <w:pPr>
        <w:rPr>
          <w:rFonts w:eastAsia="Times New Roman"/>
          <w:color w:val="000000"/>
          <w:sz w:val="21"/>
          <w:szCs w:val="21"/>
        </w:rPr>
      </w:pPr>
    </w:p>
    <w:p w:rsidR="00E0675A" w:rsidRDefault="00E0675A" w:rsidP="00E0675A">
      <w:pPr>
        <w:rPr>
          <w:rFonts w:eastAsia="Times New Roman"/>
          <w:color w:val="000000"/>
          <w:sz w:val="21"/>
          <w:szCs w:val="21"/>
        </w:rPr>
      </w:pPr>
    </w:p>
    <w:p w:rsidR="00E0675A" w:rsidRPr="00E0675A" w:rsidRDefault="00E0675A" w:rsidP="00E0675A">
      <w:pPr>
        <w:rPr>
          <w:rFonts w:ascii="Segoe UI" w:eastAsia="Times New Roman" w:hAnsi="Segoe UI" w:cs="Segoe UI"/>
          <w:b/>
          <w:color w:val="000000"/>
          <w:sz w:val="27"/>
          <w:szCs w:val="27"/>
        </w:rPr>
      </w:pPr>
      <w:r>
        <w:rPr>
          <w:rFonts w:ascii="Times New Roman" w:eastAsia="Times New Roman" w:hAnsi="Times New Roman"/>
          <w:b/>
          <w:i/>
          <w:iCs/>
          <w:color w:val="000000"/>
          <w:sz w:val="24"/>
          <w:szCs w:val="24"/>
        </w:rPr>
        <w:t>“</w:t>
      </w:r>
      <w:r w:rsidRPr="00E0675A">
        <w:rPr>
          <w:rFonts w:ascii="Times New Roman" w:eastAsia="Times New Roman" w:hAnsi="Times New Roman"/>
          <w:b/>
          <w:i/>
          <w:iCs/>
          <w:color w:val="000000"/>
          <w:sz w:val="24"/>
          <w:szCs w:val="24"/>
        </w:rPr>
        <w:t>As a follow up to the Fall 2013 Daryl Smith symposium and the aspiration of at least one of our</w:t>
      </w:r>
      <w:r>
        <w:rPr>
          <w:rFonts w:ascii="Segoe UI" w:eastAsia="Times New Roman" w:hAnsi="Segoe UI" w:cs="Segoe UI"/>
          <w:b/>
          <w:color w:val="000000"/>
          <w:sz w:val="27"/>
          <w:szCs w:val="27"/>
        </w:rPr>
        <w:t xml:space="preserve"> </w:t>
      </w:r>
      <w:r w:rsidRPr="00E0675A">
        <w:rPr>
          <w:rFonts w:ascii="Times New Roman" w:eastAsia="Times New Roman" w:hAnsi="Times New Roman"/>
          <w:b/>
          <w:i/>
          <w:iCs/>
          <w:color w:val="000000"/>
          <w:sz w:val="24"/>
          <w:szCs w:val="24"/>
        </w:rPr>
        <w:t>faculty colleagues to have a “safe space” to discuss issues of diversity, can the administration, in partnership with the President’s Commission on Human Relations, Diversity, and Equity;</w:t>
      </w:r>
      <w:r>
        <w:rPr>
          <w:rFonts w:ascii="Segoe UI" w:eastAsia="Times New Roman" w:hAnsi="Segoe UI" w:cs="Segoe UI"/>
          <w:b/>
          <w:color w:val="000000"/>
          <w:sz w:val="27"/>
          <w:szCs w:val="27"/>
        </w:rPr>
        <w:t xml:space="preserve"> </w:t>
      </w:r>
      <w:r w:rsidRPr="00E0675A">
        <w:rPr>
          <w:rFonts w:ascii="Times New Roman" w:eastAsia="Times New Roman" w:hAnsi="Times New Roman"/>
          <w:b/>
          <w:i/>
          <w:iCs/>
          <w:color w:val="000000"/>
          <w:sz w:val="24"/>
          <w:szCs w:val="24"/>
        </w:rPr>
        <w:t>Human Resources; the Center for Multicultural Engagement; and the Academic Senate, mediate a spring 2014 faculty colloquium on the recruitment of tenure-track applicants from historically</w:t>
      </w:r>
      <w:r>
        <w:rPr>
          <w:rFonts w:ascii="Segoe UI" w:eastAsia="Times New Roman" w:hAnsi="Segoe UI" w:cs="Segoe UI"/>
          <w:b/>
          <w:color w:val="000000"/>
          <w:sz w:val="27"/>
          <w:szCs w:val="27"/>
        </w:rPr>
        <w:t xml:space="preserve"> </w:t>
      </w:r>
      <w:r w:rsidRPr="00E0675A">
        <w:rPr>
          <w:rFonts w:ascii="Times New Roman" w:eastAsia="Times New Roman" w:hAnsi="Times New Roman"/>
          <w:b/>
          <w:i/>
          <w:iCs/>
          <w:color w:val="000000"/>
          <w:sz w:val="24"/>
          <w:szCs w:val="24"/>
        </w:rPr>
        <w:t>underrepresented groups?”</w:t>
      </w:r>
    </w:p>
    <w:p w:rsidR="00E0675A" w:rsidRDefault="00E0675A" w:rsidP="00E0675A">
      <w:pPr>
        <w:rPr>
          <w:color w:val="000000"/>
        </w:rPr>
      </w:pPr>
    </w:p>
    <w:p w:rsidR="00E0675A" w:rsidRDefault="00E0675A" w:rsidP="00E0675A">
      <w:pPr>
        <w:rPr>
          <w:color w:val="000000"/>
        </w:rPr>
      </w:pPr>
    </w:p>
    <w:p w:rsidR="00E0675A" w:rsidRPr="00E0675A" w:rsidRDefault="00E0675A" w:rsidP="00E0675A">
      <w:pPr>
        <w:rPr>
          <w:b/>
          <w:color w:val="000000"/>
          <w:sz w:val="28"/>
          <w:szCs w:val="28"/>
        </w:rPr>
      </w:pPr>
      <w:r w:rsidRPr="00E0675A">
        <w:rPr>
          <w:b/>
          <w:color w:val="000000"/>
          <w:sz w:val="28"/>
          <w:szCs w:val="28"/>
        </w:rPr>
        <w:t xml:space="preserve">There are two parts to Dr. Barajas’ question raised in Academic Senate on February 25, 2014. The first part of his question is a reminder to follow-up </w:t>
      </w:r>
      <w:r w:rsidRPr="00E0675A">
        <w:rPr>
          <w:b/>
          <w:color w:val="000000"/>
          <w:sz w:val="28"/>
          <w:szCs w:val="28"/>
        </w:rPr>
        <w:t>by creating</w:t>
      </w:r>
      <w:r w:rsidRPr="00E0675A">
        <w:rPr>
          <w:b/>
          <w:color w:val="000000"/>
          <w:sz w:val="28"/>
          <w:szCs w:val="28"/>
        </w:rPr>
        <w:t xml:space="preserve"> a ‘safe space’ where issues of diversity may be discussed as recommended during the Dr. Daryl Smith visit on September 17, 2013. I agree that issues of diversity should be discussed in both formal and informal settings as we work constantly to develop an inclusive and richly diverse University.  The Provost Office (Faculty Affairs) will plan with members of the President’s Commission on Human Relations, Diversity and Equity, along with others who wish to help us plan, an annual fall symposium where diversity issues may be addressed.</w:t>
      </w:r>
    </w:p>
    <w:p w:rsidR="00E0675A" w:rsidRPr="00E0675A" w:rsidRDefault="00E0675A" w:rsidP="00E0675A">
      <w:pPr>
        <w:rPr>
          <w:b/>
          <w:color w:val="000000"/>
          <w:sz w:val="28"/>
          <w:szCs w:val="28"/>
        </w:rPr>
      </w:pPr>
      <w:r w:rsidRPr="00E0675A">
        <w:rPr>
          <w:b/>
          <w:color w:val="000000"/>
          <w:sz w:val="28"/>
          <w:szCs w:val="28"/>
        </w:rPr>
        <w:t> </w:t>
      </w:r>
    </w:p>
    <w:p w:rsidR="00E0675A" w:rsidRDefault="00E0675A" w:rsidP="00E0675A">
      <w:pPr>
        <w:rPr>
          <w:b/>
          <w:color w:val="000000"/>
          <w:sz w:val="28"/>
          <w:szCs w:val="28"/>
        </w:rPr>
      </w:pPr>
      <w:r w:rsidRPr="00E0675A">
        <w:rPr>
          <w:b/>
          <w:color w:val="000000"/>
          <w:sz w:val="28"/>
          <w:szCs w:val="28"/>
        </w:rPr>
        <w:t xml:space="preserve">The Dr. Daryl Smith symposium last September focused our conversations mainly on recruiting and retaining diverse faculty. This leads me to address the second part of Dr. Barajas’ question. I suggest a joint taskforce be established this spring to review best practices for recruiting and retaining faculty from historically underrepresented groups. I recommend that this taskforce be comprised of one or two members from the Faculty Affairs Committee, President’s Commission on Human Relations, Diversity and Equity, Center for Multicultural Engagement, the Office of Faculty Affairs, and the Office of Human Resources. The taskforce will identify those practices that we are doing well, as well as make recommendations for how we can better recruit and retain more diverse faculty in the future.  </w:t>
      </w:r>
    </w:p>
    <w:p w:rsidR="00E0675A" w:rsidRDefault="00E0675A" w:rsidP="00E0675A">
      <w:pPr>
        <w:rPr>
          <w:b/>
          <w:color w:val="000000"/>
          <w:sz w:val="28"/>
          <w:szCs w:val="28"/>
        </w:rPr>
      </w:pPr>
    </w:p>
    <w:p w:rsidR="00E0675A" w:rsidRPr="00E0675A" w:rsidRDefault="00E0675A" w:rsidP="00E0675A">
      <w:pPr>
        <w:rPr>
          <w:b/>
          <w:sz w:val="28"/>
          <w:szCs w:val="28"/>
        </w:rPr>
      </w:pPr>
      <w:r w:rsidRPr="00E0675A">
        <w:rPr>
          <w:b/>
          <w:sz w:val="28"/>
          <w:szCs w:val="28"/>
          <w:u w:val="single"/>
        </w:rPr>
        <w:t>………………………</w:t>
      </w:r>
      <w:proofErr w:type="gramStart"/>
      <w:r w:rsidRPr="00E0675A">
        <w:rPr>
          <w:b/>
          <w:sz w:val="28"/>
          <w:szCs w:val="28"/>
          <w:u w:val="single"/>
        </w:rPr>
        <w:t>.“</w:t>
      </w:r>
      <w:proofErr w:type="gramEnd"/>
      <w:r w:rsidRPr="00E0675A">
        <w:rPr>
          <w:b/>
          <w:sz w:val="28"/>
          <w:szCs w:val="28"/>
          <w:u w:val="single"/>
        </w:rPr>
        <w:t>My question: why the failure, and how the administration plans to remedy the lack of consultation for any current and future proposals to offer an online degree program?”</w:t>
      </w:r>
    </w:p>
    <w:p w:rsidR="00E0675A" w:rsidRPr="00E0675A" w:rsidRDefault="00E0675A" w:rsidP="00E0675A">
      <w:pPr>
        <w:rPr>
          <w:b/>
          <w:sz w:val="28"/>
          <w:szCs w:val="28"/>
        </w:rPr>
      </w:pPr>
      <w:r w:rsidRPr="00E0675A">
        <w:rPr>
          <w:b/>
          <w:sz w:val="28"/>
          <w:szCs w:val="28"/>
        </w:rPr>
        <w:t> </w:t>
      </w:r>
    </w:p>
    <w:p w:rsidR="00E0675A" w:rsidRPr="00E0675A" w:rsidRDefault="00E0675A" w:rsidP="00E0675A">
      <w:pPr>
        <w:rPr>
          <w:b/>
          <w:sz w:val="28"/>
          <w:szCs w:val="28"/>
        </w:rPr>
      </w:pPr>
      <w:r w:rsidRPr="00E0675A">
        <w:rPr>
          <w:b/>
          <w:sz w:val="28"/>
          <w:szCs w:val="28"/>
        </w:rPr>
        <w:t xml:space="preserve">We are in agreement that faculty has primary responsibility for curriculum. And, we are in agreement that curricular changes must adhere to those policies and procedures as determined and governed by the Academic Senate. In the case of the MVS School of Business and Finance moving the BS in Business offered through Extended University at Santa Barbara City College from traditional instructional delivery to a fully online modality, required more than business faculty, program chair and AVP approval. According to the Curriculum Committee Guidelines the proposed program modification should have gone through a Curriculum Committee Review. It is not clear to me why the curriculum process was not followed.  </w:t>
      </w:r>
    </w:p>
    <w:p w:rsidR="00E0675A" w:rsidRPr="00E0675A" w:rsidRDefault="00E0675A" w:rsidP="00E0675A">
      <w:pPr>
        <w:rPr>
          <w:b/>
          <w:sz w:val="28"/>
          <w:szCs w:val="28"/>
        </w:rPr>
      </w:pPr>
    </w:p>
    <w:p w:rsidR="00E0675A" w:rsidRPr="00E0675A" w:rsidRDefault="00E0675A" w:rsidP="00E0675A">
      <w:pPr>
        <w:rPr>
          <w:b/>
          <w:sz w:val="28"/>
          <w:szCs w:val="28"/>
        </w:rPr>
      </w:pPr>
      <w:r w:rsidRPr="00E0675A">
        <w:rPr>
          <w:b/>
          <w:sz w:val="28"/>
          <w:szCs w:val="28"/>
        </w:rPr>
        <w:t>When asked what happened, AVP Cordeiro of the MVS School of Business and Finance offered the following summary of events.</w:t>
      </w:r>
    </w:p>
    <w:p w:rsidR="00E0675A" w:rsidRPr="00E0675A" w:rsidRDefault="00E0675A" w:rsidP="00E0675A">
      <w:pPr>
        <w:rPr>
          <w:b/>
          <w:sz w:val="28"/>
          <w:szCs w:val="28"/>
        </w:rPr>
      </w:pPr>
      <w:r w:rsidRPr="00E0675A">
        <w:rPr>
          <w:b/>
          <w:sz w:val="28"/>
          <w:szCs w:val="28"/>
        </w:rPr>
        <w:t> </w:t>
      </w:r>
    </w:p>
    <w:p w:rsidR="00E0675A" w:rsidRPr="00E0675A" w:rsidRDefault="00E0675A" w:rsidP="00E0675A">
      <w:pPr>
        <w:ind w:left="720"/>
        <w:rPr>
          <w:b/>
          <w:i/>
          <w:sz w:val="28"/>
          <w:szCs w:val="28"/>
        </w:rPr>
      </w:pPr>
      <w:r w:rsidRPr="00E0675A">
        <w:rPr>
          <w:b/>
          <w:i/>
          <w:sz w:val="28"/>
          <w:szCs w:val="28"/>
        </w:rPr>
        <w:t>In a fall 2012 meeting and in subsequent email discussions, the faculty members of the Smith School strongly endorsed the conversion of the two year degree completion program (BS in Business) being offered at Santa Barbara City College into a 100% online modality. Currently, all 5 Smith School Tenure/Track faculty members, 6 Smith School Lecturer faculty members and 7 other CI faculty members are converting their existing classes into an online modality. In July 2013, the Smith School received a $50,000 Grant from CSU Extended Education Commission to support the conversion and 18 CI faculty members received stipends to convert their courses during summer 2013 (work continues on some courses). In late 2013, we received CO and WASC approval. Currently, we are developing the program, assigning professors and planning student support activities. In fall 2014, we should be ready to offer an excellent program to a group of students who require Online Education.</w:t>
      </w:r>
    </w:p>
    <w:p w:rsidR="00E0675A" w:rsidRPr="00E0675A" w:rsidRDefault="00E0675A" w:rsidP="00E0675A">
      <w:pPr>
        <w:ind w:left="720"/>
        <w:rPr>
          <w:b/>
          <w:i/>
          <w:sz w:val="28"/>
          <w:szCs w:val="28"/>
        </w:rPr>
      </w:pPr>
    </w:p>
    <w:p w:rsidR="00E0675A" w:rsidRPr="00E0675A" w:rsidRDefault="00E0675A" w:rsidP="00E0675A">
      <w:pPr>
        <w:ind w:left="720"/>
        <w:rPr>
          <w:b/>
          <w:i/>
          <w:sz w:val="28"/>
          <w:szCs w:val="28"/>
        </w:rPr>
      </w:pPr>
      <w:r w:rsidRPr="00E0675A">
        <w:rPr>
          <w:b/>
          <w:i/>
          <w:sz w:val="28"/>
          <w:szCs w:val="28"/>
        </w:rPr>
        <w:t xml:space="preserve">We all agree that faculty and administrators should address important topics concerning Online Education: standards, approval process, evaluation/assessment processes, faculty development needs, support services for students and faculty, and other topics that will emerge. Since they involve a variety of committees and areas, I recommend that the Provost and Senate create a </w:t>
      </w:r>
      <w:r w:rsidRPr="00E0675A">
        <w:rPr>
          <w:b/>
          <w:i/>
          <w:sz w:val="28"/>
          <w:szCs w:val="28"/>
          <w:u w:val="single"/>
        </w:rPr>
        <w:t>Special Task Force for Online Education</w:t>
      </w:r>
      <w:r w:rsidRPr="00E0675A">
        <w:rPr>
          <w:b/>
          <w:i/>
          <w:sz w:val="28"/>
          <w:szCs w:val="28"/>
        </w:rPr>
        <w:t xml:space="preserve"> to address the topics. </w:t>
      </w:r>
    </w:p>
    <w:p w:rsidR="00E0675A" w:rsidRPr="00E0675A" w:rsidRDefault="00E0675A" w:rsidP="00E0675A">
      <w:pPr>
        <w:ind w:left="720"/>
        <w:rPr>
          <w:b/>
          <w:i/>
          <w:sz w:val="28"/>
          <w:szCs w:val="28"/>
        </w:rPr>
      </w:pPr>
    </w:p>
    <w:p w:rsidR="00E0675A" w:rsidRPr="00E0675A" w:rsidRDefault="00E0675A" w:rsidP="00E0675A">
      <w:pPr>
        <w:ind w:left="720"/>
        <w:rPr>
          <w:b/>
          <w:sz w:val="28"/>
          <w:szCs w:val="28"/>
        </w:rPr>
      </w:pPr>
    </w:p>
    <w:p w:rsidR="00E0675A" w:rsidRPr="00E0675A" w:rsidRDefault="00E0675A" w:rsidP="00E0675A">
      <w:pPr>
        <w:rPr>
          <w:b/>
          <w:sz w:val="28"/>
          <w:szCs w:val="28"/>
        </w:rPr>
      </w:pPr>
      <w:r w:rsidRPr="00E0675A">
        <w:rPr>
          <w:b/>
          <w:sz w:val="28"/>
          <w:szCs w:val="28"/>
        </w:rPr>
        <w:t xml:space="preserve">I am appreciative of AVP </w:t>
      </w:r>
      <w:proofErr w:type="gramStart"/>
      <w:r w:rsidRPr="00E0675A">
        <w:rPr>
          <w:b/>
          <w:sz w:val="28"/>
          <w:szCs w:val="28"/>
        </w:rPr>
        <w:t>Cordeiro’ s</w:t>
      </w:r>
      <w:proofErr w:type="gramEnd"/>
      <w:r w:rsidRPr="00E0675A">
        <w:rPr>
          <w:b/>
          <w:sz w:val="28"/>
          <w:szCs w:val="28"/>
        </w:rPr>
        <w:t xml:space="preserve"> response and truly believe that the Smith School faculty endorse this shift in program modality as a means to grant greater access and service to students. However, it is truly unfortunate that an error in the curriculum process occurred after the previous Provost stated that the program modification would go through curriculum committee. In an effort to reconcile the situation, I will meet with the AVP of the Smith School, the Program Chair of Business, the Academic Senate Chair, and the Curriculum committee to discuss this matter.</w:t>
      </w:r>
    </w:p>
    <w:p w:rsidR="00E0675A" w:rsidRPr="00E0675A" w:rsidRDefault="00E0675A" w:rsidP="00E0675A">
      <w:pPr>
        <w:rPr>
          <w:b/>
          <w:sz w:val="28"/>
          <w:szCs w:val="28"/>
        </w:rPr>
      </w:pPr>
    </w:p>
    <w:p w:rsidR="00E0675A" w:rsidRPr="00E0675A" w:rsidRDefault="00E0675A" w:rsidP="00E0675A">
      <w:pPr>
        <w:rPr>
          <w:b/>
          <w:sz w:val="28"/>
          <w:szCs w:val="28"/>
        </w:rPr>
      </w:pPr>
      <w:r w:rsidRPr="00E0675A">
        <w:rPr>
          <w:b/>
          <w:sz w:val="28"/>
          <w:szCs w:val="28"/>
        </w:rPr>
        <w:t xml:space="preserve">Further, I accept AVP Cordeiro’ s recommendation that the Provost’s office work with the Academic Senate to form a Special Task Force for Online Education to develop policy and procedure with regard to online education programs. I also recommend that this taskforce refer to the </w:t>
      </w:r>
      <w:r w:rsidRPr="00E0675A">
        <w:rPr>
          <w:b/>
          <w:i/>
          <w:sz w:val="28"/>
          <w:szCs w:val="28"/>
        </w:rPr>
        <w:t>Online Education White Paper</w:t>
      </w:r>
      <w:r w:rsidRPr="00E0675A">
        <w:rPr>
          <w:b/>
          <w:sz w:val="28"/>
          <w:szCs w:val="28"/>
        </w:rPr>
        <w:t xml:space="preserve"> written by the Online Education White Paper Sub Committee of the </w:t>
      </w:r>
      <w:proofErr w:type="spellStart"/>
      <w:r w:rsidRPr="00E0675A">
        <w:rPr>
          <w:b/>
          <w:sz w:val="28"/>
          <w:szCs w:val="28"/>
        </w:rPr>
        <w:t>CalSTATE</w:t>
      </w:r>
      <w:proofErr w:type="spellEnd"/>
      <w:r w:rsidRPr="00E0675A">
        <w:rPr>
          <w:b/>
          <w:sz w:val="28"/>
          <w:szCs w:val="28"/>
        </w:rPr>
        <w:t xml:space="preserve"> Academic Senate </w:t>
      </w:r>
      <w:hyperlink r:id="rId5" w:history="1">
        <w:r w:rsidRPr="00E0675A">
          <w:rPr>
            <w:rStyle w:val="Hyperlink"/>
            <w:b/>
            <w:sz w:val="28"/>
            <w:szCs w:val="28"/>
          </w:rPr>
          <w:t>http://www.calstate.edu/AcadSen/Records/Reports/documents/Online_Education_White_Paper.pdf</w:t>
        </w:r>
      </w:hyperlink>
      <w:r w:rsidRPr="00E0675A">
        <w:rPr>
          <w:b/>
          <w:sz w:val="28"/>
          <w:szCs w:val="28"/>
        </w:rPr>
        <w:t xml:space="preserve"> ) as a starting reference. Going forward, it is my expectation that the online Liberal Studies program and any other online program will follow the appropriate curricular process.  </w:t>
      </w:r>
    </w:p>
    <w:p w:rsidR="00E0675A" w:rsidRPr="00E0675A" w:rsidRDefault="00E0675A" w:rsidP="00E0675A">
      <w:pPr>
        <w:rPr>
          <w:b/>
          <w:color w:val="000000"/>
          <w:sz w:val="28"/>
          <w:szCs w:val="28"/>
        </w:rPr>
      </w:pPr>
    </w:p>
    <w:p w:rsidR="00DF58A8" w:rsidRDefault="00DF58A8"/>
    <w:sectPr w:rsidR="00DF58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75A"/>
    <w:rsid w:val="003041FB"/>
    <w:rsid w:val="00767469"/>
    <w:rsid w:val="00DF58A8"/>
    <w:rsid w:val="00E06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75A"/>
    <w:rPr>
      <w:rFonts w:ascii="Calibri" w:hAnsi="Calibri"/>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asciiTheme="minorHAnsi" w:hAnsiTheme="minorHAnsi"/>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asciiTheme="minorHAnsi" w:hAnsiTheme="minorHAnsi"/>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asciiTheme="minorHAnsi" w:hAnsiTheme="minorHAnsi"/>
      <w:b/>
      <w:bCs/>
    </w:rPr>
  </w:style>
  <w:style w:type="paragraph" w:styleId="Heading7">
    <w:name w:val="heading 7"/>
    <w:basedOn w:val="Normal"/>
    <w:next w:val="Normal"/>
    <w:link w:val="Heading7Char"/>
    <w:uiPriority w:val="9"/>
    <w:semiHidden/>
    <w:unhideWhenUsed/>
    <w:qFormat/>
    <w:rsid w:val="00767469"/>
    <w:pPr>
      <w:spacing w:before="240" w:after="60"/>
      <w:outlineLvl w:val="6"/>
    </w:pPr>
    <w:rPr>
      <w:rFonts w:asciiTheme="minorHAnsi" w:hAnsiTheme="minorHAnsi"/>
      <w:sz w:val="24"/>
      <w:szCs w:val="24"/>
    </w:rPr>
  </w:style>
  <w:style w:type="paragraph" w:styleId="Heading8">
    <w:name w:val="heading 8"/>
    <w:basedOn w:val="Normal"/>
    <w:next w:val="Normal"/>
    <w:link w:val="Heading8Char"/>
    <w:uiPriority w:val="9"/>
    <w:semiHidden/>
    <w:unhideWhenUsed/>
    <w:qFormat/>
    <w:rsid w:val="00767469"/>
    <w:pPr>
      <w:spacing w:before="240" w:after="60"/>
      <w:outlineLvl w:val="7"/>
    </w:pPr>
    <w:rPr>
      <w:rFonts w:asciiTheme="minorHAnsi" w:hAnsiTheme="minorHAnsi"/>
      <w:i/>
      <w:iCs/>
      <w:sz w:val="24"/>
      <w:szCs w:val="24"/>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asciiTheme="minorHAnsi" w:hAnsiTheme="minorHAnsi"/>
      <w:sz w:val="24"/>
      <w:szCs w:val="32"/>
    </w:rPr>
  </w:style>
  <w:style w:type="paragraph" w:styleId="ListParagraph">
    <w:name w:val="List Paragraph"/>
    <w:basedOn w:val="Normal"/>
    <w:uiPriority w:val="34"/>
    <w:qFormat/>
    <w:rsid w:val="00767469"/>
    <w:pPr>
      <w:ind w:left="720"/>
      <w:contextualSpacing/>
    </w:pPr>
    <w:rPr>
      <w:rFonts w:asciiTheme="minorHAnsi" w:hAnsiTheme="minorHAnsi"/>
      <w:sz w:val="24"/>
      <w:szCs w:val="24"/>
    </w:rPr>
  </w:style>
  <w:style w:type="paragraph" w:styleId="Quote">
    <w:name w:val="Quote"/>
    <w:basedOn w:val="Normal"/>
    <w:next w:val="Normal"/>
    <w:link w:val="QuoteChar"/>
    <w:uiPriority w:val="29"/>
    <w:qFormat/>
    <w:rsid w:val="00767469"/>
    <w:rPr>
      <w:rFonts w:asciiTheme="minorHAnsi" w:hAnsiTheme="minorHAnsi"/>
      <w:i/>
      <w:sz w:val="24"/>
      <w:szCs w:val="24"/>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asciiTheme="minorHAnsi" w:hAnsiTheme="minorHAnsi"/>
      <w:b/>
      <w:i/>
      <w:sz w:val="24"/>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character" w:styleId="Hyperlink">
    <w:name w:val="Hyperlink"/>
    <w:basedOn w:val="DefaultParagraphFont"/>
    <w:uiPriority w:val="99"/>
    <w:unhideWhenUsed/>
    <w:rsid w:val="00E067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75A"/>
    <w:rPr>
      <w:rFonts w:ascii="Calibri" w:hAnsi="Calibri"/>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asciiTheme="minorHAnsi" w:hAnsiTheme="minorHAnsi"/>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asciiTheme="minorHAnsi" w:hAnsiTheme="minorHAnsi"/>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asciiTheme="minorHAnsi" w:hAnsiTheme="minorHAnsi"/>
      <w:b/>
      <w:bCs/>
    </w:rPr>
  </w:style>
  <w:style w:type="paragraph" w:styleId="Heading7">
    <w:name w:val="heading 7"/>
    <w:basedOn w:val="Normal"/>
    <w:next w:val="Normal"/>
    <w:link w:val="Heading7Char"/>
    <w:uiPriority w:val="9"/>
    <w:semiHidden/>
    <w:unhideWhenUsed/>
    <w:qFormat/>
    <w:rsid w:val="00767469"/>
    <w:pPr>
      <w:spacing w:before="240" w:after="60"/>
      <w:outlineLvl w:val="6"/>
    </w:pPr>
    <w:rPr>
      <w:rFonts w:asciiTheme="minorHAnsi" w:hAnsiTheme="minorHAnsi"/>
      <w:sz w:val="24"/>
      <w:szCs w:val="24"/>
    </w:rPr>
  </w:style>
  <w:style w:type="paragraph" w:styleId="Heading8">
    <w:name w:val="heading 8"/>
    <w:basedOn w:val="Normal"/>
    <w:next w:val="Normal"/>
    <w:link w:val="Heading8Char"/>
    <w:uiPriority w:val="9"/>
    <w:semiHidden/>
    <w:unhideWhenUsed/>
    <w:qFormat/>
    <w:rsid w:val="00767469"/>
    <w:pPr>
      <w:spacing w:before="240" w:after="60"/>
      <w:outlineLvl w:val="7"/>
    </w:pPr>
    <w:rPr>
      <w:rFonts w:asciiTheme="minorHAnsi" w:hAnsiTheme="minorHAnsi"/>
      <w:i/>
      <w:iCs/>
      <w:sz w:val="24"/>
      <w:szCs w:val="24"/>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asciiTheme="minorHAnsi" w:hAnsiTheme="minorHAnsi"/>
      <w:sz w:val="24"/>
      <w:szCs w:val="32"/>
    </w:rPr>
  </w:style>
  <w:style w:type="paragraph" w:styleId="ListParagraph">
    <w:name w:val="List Paragraph"/>
    <w:basedOn w:val="Normal"/>
    <w:uiPriority w:val="34"/>
    <w:qFormat/>
    <w:rsid w:val="00767469"/>
    <w:pPr>
      <w:ind w:left="720"/>
      <w:contextualSpacing/>
    </w:pPr>
    <w:rPr>
      <w:rFonts w:asciiTheme="minorHAnsi" w:hAnsiTheme="minorHAnsi"/>
      <w:sz w:val="24"/>
      <w:szCs w:val="24"/>
    </w:rPr>
  </w:style>
  <w:style w:type="paragraph" w:styleId="Quote">
    <w:name w:val="Quote"/>
    <w:basedOn w:val="Normal"/>
    <w:next w:val="Normal"/>
    <w:link w:val="QuoteChar"/>
    <w:uiPriority w:val="29"/>
    <w:qFormat/>
    <w:rsid w:val="00767469"/>
    <w:rPr>
      <w:rFonts w:asciiTheme="minorHAnsi" w:hAnsiTheme="minorHAnsi"/>
      <w:i/>
      <w:sz w:val="24"/>
      <w:szCs w:val="24"/>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asciiTheme="minorHAnsi" w:hAnsiTheme="minorHAnsi"/>
      <w:b/>
      <w:i/>
      <w:sz w:val="24"/>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character" w:styleId="Hyperlink">
    <w:name w:val="Hyperlink"/>
    <w:basedOn w:val="DefaultParagraphFont"/>
    <w:uiPriority w:val="99"/>
    <w:unhideWhenUsed/>
    <w:rsid w:val="00E067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23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alstate.edu/AcadSen/Records/Reports/documents/Online_Education_White_Paper.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2</cp:revision>
  <dcterms:created xsi:type="dcterms:W3CDTF">2014-03-18T21:01:00Z</dcterms:created>
  <dcterms:modified xsi:type="dcterms:W3CDTF">2014-03-18T21:07:00Z</dcterms:modified>
</cp:coreProperties>
</file>