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09F" w:rsidRDefault="009E309F" w:rsidP="009E309F">
      <w:pPr>
        <w:tabs>
          <w:tab w:val="left" w:pos="360"/>
          <w:tab w:val="left" w:pos="1800"/>
        </w:tabs>
      </w:pPr>
      <w:r>
        <w:t xml:space="preserve">Outcome </w:t>
      </w:r>
      <w:proofErr w:type="gramStart"/>
      <w:r>
        <w:t>6.2  Articulate</w:t>
      </w:r>
      <w:proofErr w:type="gramEnd"/>
      <w:r>
        <w:t xml:space="preserve"> personal thoughts and emotions when encountering human creations and ideas.</w:t>
      </w:r>
    </w:p>
    <w:p w:rsidR="009E309F" w:rsidRDefault="009E309F" w:rsidP="009E309F">
      <w:pPr>
        <w:tabs>
          <w:tab w:val="left" w:pos="360"/>
          <w:tab w:val="left" w:pos="1800"/>
        </w:tabs>
        <w:rPr>
          <w:b/>
        </w:rPr>
      </w:pPr>
    </w:p>
    <w:tbl>
      <w:tblPr>
        <w:tblStyle w:val="TableGrid"/>
        <w:tblW w:w="0" w:type="auto"/>
        <w:tblInd w:w="0" w:type="dxa"/>
        <w:tblLook w:val="04A0" w:firstRow="1" w:lastRow="0" w:firstColumn="1" w:lastColumn="0" w:noHBand="0" w:noVBand="1"/>
      </w:tblPr>
      <w:tblGrid>
        <w:gridCol w:w="2808"/>
        <w:gridCol w:w="2808"/>
        <w:gridCol w:w="2808"/>
        <w:gridCol w:w="2808"/>
        <w:gridCol w:w="2808"/>
      </w:tblGrid>
      <w:tr w:rsidR="009E309F" w:rsidTr="009E309F">
        <w:tc>
          <w:tcPr>
            <w:tcW w:w="2808" w:type="dxa"/>
            <w:tcBorders>
              <w:top w:val="single" w:sz="4" w:space="0" w:color="auto"/>
              <w:left w:val="single" w:sz="4" w:space="0" w:color="auto"/>
              <w:bottom w:val="single" w:sz="4" w:space="0" w:color="auto"/>
              <w:right w:val="single" w:sz="4" w:space="0" w:color="auto"/>
            </w:tcBorders>
          </w:tcPr>
          <w:p w:rsidR="009E309F" w:rsidRDefault="009E309F">
            <w:pPr>
              <w:spacing w:before="100" w:beforeAutospacing="1" w:after="100" w:afterAutospacing="1"/>
              <w:rPr>
                <w:rFonts w:ascii="Times" w:hAnsi="Times" w:cs="Times New Roman"/>
                <w:sz w:val="20"/>
                <w:szCs w:val="20"/>
              </w:rPr>
            </w:pPr>
          </w:p>
        </w:tc>
        <w:tc>
          <w:tcPr>
            <w:tcW w:w="2808" w:type="dxa"/>
            <w:tcBorders>
              <w:top w:val="single" w:sz="4" w:space="0" w:color="auto"/>
              <w:left w:val="single" w:sz="4" w:space="0" w:color="auto"/>
              <w:bottom w:val="single" w:sz="4" w:space="0" w:color="auto"/>
              <w:right w:val="single" w:sz="4" w:space="0" w:color="auto"/>
            </w:tcBorders>
            <w:hideMark/>
          </w:tcPr>
          <w:p w:rsidR="009E309F" w:rsidRDefault="009E309F">
            <w:pPr>
              <w:spacing w:before="100" w:beforeAutospacing="1" w:after="100" w:afterAutospacing="1"/>
              <w:jc w:val="center"/>
              <w:rPr>
                <w:rFonts w:ascii="Times" w:hAnsi="Times" w:cs="Times New Roman"/>
                <w:sz w:val="20"/>
                <w:szCs w:val="20"/>
              </w:rPr>
            </w:pPr>
            <w:r>
              <w:rPr>
                <w:rFonts w:ascii="Times" w:hAnsi="Times" w:cs="Times New Roman"/>
                <w:sz w:val="20"/>
                <w:szCs w:val="20"/>
              </w:rPr>
              <w:t>Initial 1</w:t>
            </w:r>
          </w:p>
        </w:tc>
        <w:tc>
          <w:tcPr>
            <w:tcW w:w="2808" w:type="dxa"/>
            <w:tcBorders>
              <w:top w:val="single" w:sz="4" w:space="0" w:color="auto"/>
              <w:left w:val="single" w:sz="4" w:space="0" w:color="auto"/>
              <w:bottom w:val="single" w:sz="4" w:space="0" w:color="auto"/>
              <w:right w:val="single" w:sz="4" w:space="0" w:color="auto"/>
            </w:tcBorders>
            <w:hideMark/>
          </w:tcPr>
          <w:p w:rsidR="009E309F" w:rsidRDefault="009E309F">
            <w:pPr>
              <w:spacing w:before="100" w:beforeAutospacing="1" w:after="100" w:afterAutospacing="1"/>
              <w:jc w:val="center"/>
              <w:rPr>
                <w:rFonts w:ascii="Times" w:hAnsi="Times" w:cs="Times New Roman"/>
                <w:sz w:val="20"/>
                <w:szCs w:val="20"/>
              </w:rPr>
            </w:pPr>
            <w:r>
              <w:rPr>
                <w:rFonts w:ascii="Times" w:hAnsi="Times" w:cs="Times New Roman"/>
                <w:sz w:val="20"/>
                <w:szCs w:val="20"/>
              </w:rPr>
              <w:t>Emerging 2</w:t>
            </w:r>
          </w:p>
        </w:tc>
        <w:tc>
          <w:tcPr>
            <w:tcW w:w="2808" w:type="dxa"/>
            <w:tcBorders>
              <w:top w:val="single" w:sz="4" w:space="0" w:color="auto"/>
              <w:left w:val="single" w:sz="4" w:space="0" w:color="auto"/>
              <w:bottom w:val="single" w:sz="4" w:space="0" w:color="auto"/>
              <w:right w:val="single" w:sz="4" w:space="0" w:color="auto"/>
            </w:tcBorders>
            <w:hideMark/>
          </w:tcPr>
          <w:p w:rsidR="009E309F" w:rsidRDefault="009E309F">
            <w:pPr>
              <w:spacing w:before="100" w:beforeAutospacing="1" w:after="100" w:afterAutospacing="1"/>
              <w:jc w:val="center"/>
              <w:rPr>
                <w:rFonts w:ascii="Times" w:hAnsi="Times" w:cs="Times New Roman"/>
                <w:sz w:val="20"/>
                <w:szCs w:val="20"/>
              </w:rPr>
            </w:pPr>
            <w:r>
              <w:rPr>
                <w:rFonts w:ascii="Times" w:hAnsi="Times" w:cs="Times New Roman"/>
                <w:sz w:val="20"/>
                <w:szCs w:val="20"/>
              </w:rPr>
              <w:t>Developing 3</w:t>
            </w:r>
          </w:p>
        </w:tc>
        <w:tc>
          <w:tcPr>
            <w:tcW w:w="2808" w:type="dxa"/>
            <w:tcBorders>
              <w:top w:val="single" w:sz="4" w:space="0" w:color="auto"/>
              <w:left w:val="single" w:sz="4" w:space="0" w:color="auto"/>
              <w:bottom w:val="single" w:sz="4" w:space="0" w:color="auto"/>
              <w:right w:val="single" w:sz="4" w:space="0" w:color="auto"/>
            </w:tcBorders>
            <w:hideMark/>
          </w:tcPr>
          <w:p w:rsidR="009E309F" w:rsidRDefault="009E309F">
            <w:pPr>
              <w:spacing w:before="100" w:beforeAutospacing="1" w:after="100" w:afterAutospacing="1"/>
              <w:jc w:val="center"/>
              <w:rPr>
                <w:rFonts w:ascii="Times" w:hAnsi="Times" w:cs="Times New Roman"/>
                <w:sz w:val="20"/>
                <w:szCs w:val="20"/>
              </w:rPr>
            </w:pPr>
            <w:r>
              <w:rPr>
                <w:rFonts w:ascii="Times" w:hAnsi="Times" w:cs="Times New Roman"/>
                <w:sz w:val="20"/>
                <w:szCs w:val="20"/>
              </w:rPr>
              <w:t>Highly Developed 4</w:t>
            </w:r>
          </w:p>
        </w:tc>
      </w:tr>
      <w:tr w:rsidR="009E309F" w:rsidTr="009E309F">
        <w:tc>
          <w:tcPr>
            <w:tcW w:w="2808" w:type="dxa"/>
            <w:tcBorders>
              <w:top w:val="single" w:sz="4" w:space="0" w:color="auto"/>
              <w:left w:val="single" w:sz="4" w:space="0" w:color="auto"/>
              <w:bottom w:val="single" w:sz="4" w:space="0" w:color="auto"/>
              <w:right w:val="single" w:sz="4" w:space="0" w:color="auto"/>
            </w:tcBorders>
            <w:hideMark/>
          </w:tcPr>
          <w:p w:rsidR="009E309F" w:rsidRDefault="009E309F">
            <w:pPr>
              <w:spacing w:before="100" w:beforeAutospacing="1" w:after="100" w:afterAutospacing="1"/>
              <w:rPr>
                <w:rFonts w:ascii="Times New Roman" w:hAnsi="Times New Roman" w:cs="Times New Roman"/>
                <w:sz w:val="20"/>
                <w:szCs w:val="20"/>
              </w:rPr>
            </w:pPr>
            <w:r>
              <w:rPr>
                <w:rFonts w:ascii="Times New Roman" w:hAnsi="Times New Roman" w:cs="Times New Roman"/>
                <w:b/>
                <w:sz w:val="20"/>
                <w:szCs w:val="20"/>
              </w:rPr>
              <w:t xml:space="preserve">Aesthetics </w:t>
            </w:r>
          </w:p>
        </w:tc>
        <w:tc>
          <w:tcPr>
            <w:tcW w:w="2808" w:type="dxa"/>
            <w:tcBorders>
              <w:top w:val="single" w:sz="4" w:space="0" w:color="auto"/>
              <w:left w:val="single" w:sz="4" w:space="0" w:color="auto"/>
              <w:bottom w:val="single" w:sz="4" w:space="0" w:color="auto"/>
              <w:right w:val="single" w:sz="4" w:space="0" w:color="auto"/>
            </w:tcBorders>
          </w:tcPr>
          <w:p w:rsidR="009E309F" w:rsidRDefault="009E309F">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Engages with the aesthetic properties of the work under consideration at a superficial level.</w:t>
            </w:r>
          </w:p>
          <w:p w:rsidR="009E309F" w:rsidRDefault="009E309F">
            <w:pPr>
              <w:spacing w:before="100" w:beforeAutospacing="1" w:after="100" w:afterAutospacing="1"/>
              <w:rPr>
                <w:rFonts w:ascii="Times New Roman" w:hAnsi="Times New Roman" w:cs="Times New Roman"/>
                <w:sz w:val="20"/>
                <w:szCs w:val="20"/>
              </w:rPr>
            </w:pPr>
          </w:p>
        </w:tc>
        <w:tc>
          <w:tcPr>
            <w:tcW w:w="2808" w:type="dxa"/>
            <w:tcBorders>
              <w:top w:val="single" w:sz="4" w:space="0" w:color="auto"/>
              <w:left w:val="single" w:sz="4" w:space="0" w:color="auto"/>
              <w:bottom w:val="single" w:sz="4" w:space="0" w:color="auto"/>
              <w:right w:val="single" w:sz="4" w:space="0" w:color="auto"/>
            </w:tcBorders>
            <w:hideMark/>
          </w:tcPr>
          <w:p w:rsidR="009E309F" w:rsidRDefault="009E309F">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Makes meaningful observations about the work’s aesthetic properties, individually and/or in relation to other works.  Demonstrates some understanding of aesthetic concepts and evidence.</w:t>
            </w:r>
          </w:p>
          <w:p w:rsidR="009E309F" w:rsidRDefault="009E309F">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w:t>
            </w:r>
          </w:p>
        </w:tc>
        <w:tc>
          <w:tcPr>
            <w:tcW w:w="2808" w:type="dxa"/>
            <w:tcBorders>
              <w:top w:val="single" w:sz="4" w:space="0" w:color="auto"/>
              <w:left w:val="single" w:sz="4" w:space="0" w:color="auto"/>
              <w:bottom w:val="single" w:sz="4" w:space="0" w:color="auto"/>
              <w:right w:val="single" w:sz="4" w:space="0" w:color="auto"/>
            </w:tcBorders>
            <w:hideMark/>
          </w:tcPr>
          <w:p w:rsidR="009E309F" w:rsidRDefault="009E309F">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Articulates an aesthetic and/or critical response to creative works using appropriate concepts. Shows awareness of the relationships between culture, history, and aesthetics, including the ability to distinguish between personal context and that of the work.</w:t>
            </w:r>
          </w:p>
        </w:tc>
        <w:tc>
          <w:tcPr>
            <w:tcW w:w="2808" w:type="dxa"/>
            <w:tcBorders>
              <w:top w:val="single" w:sz="4" w:space="0" w:color="auto"/>
              <w:left w:val="single" w:sz="4" w:space="0" w:color="auto"/>
              <w:bottom w:val="single" w:sz="4" w:space="0" w:color="auto"/>
              <w:right w:val="single" w:sz="4" w:space="0" w:color="auto"/>
            </w:tcBorders>
            <w:hideMark/>
          </w:tcPr>
          <w:p w:rsidR="009E309F" w:rsidRDefault="009E309F">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Demonstrates a sophisticated understanding of historical and cultural processes in relation to aesthetic concepts and judgments. Successfully integrates multiple concepts and perspectives into a personal aesthetic and/or critical response.</w:t>
            </w:r>
          </w:p>
        </w:tc>
      </w:tr>
      <w:tr w:rsidR="009E309F" w:rsidTr="009E309F">
        <w:tc>
          <w:tcPr>
            <w:tcW w:w="2808" w:type="dxa"/>
            <w:tcBorders>
              <w:top w:val="single" w:sz="4" w:space="0" w:color="auto"/>
              <w:left w:val="single" w:sz="4" w:space="0" w:color="auto"/>
              <w:bottom w:val="single" w:sz="4" w:space="0" w:color="auto"/>
              <w:right w:val="single" w:sz="4" w:space="0" w:color="auto"/>
            </w:tcBorders>
            <w:hideMark/>
          </w:tcPr>
          <w:p w:rsidR="009E309F" w:rsidRDefault="009E309F">
            <w:pPr>
              <w:spacing w:before="100" w:beforeAutospacing="1" w:after="100" w:afterAutospacing="1"/>
              <w:rPr>
                <w:rFonts w:ascii="Times New Roman" w:hAnsi="Times New Roman" w:cs="Times New Roman"/>
                <w:sz w:val="20"/>
                <w:szCs w:val="20"/>
              </w:rPr>
            </w:pPr>
            <w:r>
              <w:rPr>
                <w:rFonts w:ascii="Times New Roman" w:hAnsi="Times New Roman" w:cs="Times New Roman"/>
                <w:b/>
                <w:sz w:val="20"/>
                <w:szCs w:val="20"/>
              </w:rPr>
              <w:t>Emotion</w:t>
            </w:r>
          </w:p>
        </w:tc>
        <w:tc>
          <w:tcPr>
            <w:tcW w:w="2808" w:type="dxa"/>
            <w:tcBorders>
              <w:top w:val="single" w:sz="4" w:space="0" w:color="auto"/>
              <w:left w:val="single" w:sz="4" w:space="0" w:color="auto"/>
              <w:bottom w:val="single" w:sz="4" w:space="0" w:color="auto"/>
              <w:right w:val="single" w:sz="4" w:space="0" w:color="auto"/>
            </w:tcBorders>
            <w:hideMark/>
          </w:tcPr>
          <w:p w:rsidR="009E309F" w:rsidRDefault="009E309F">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Expresses personal thoughts and emotions, but is not able to relate them to the work and/or cannot articulate reasons for the response.</w:t>
            </w:r>
          </w:p>
        </w:tc>
        <w:tc>
          <w:tcPr>
            <w:tcW w:w="2808" w:type="dxa"/>
            <w:tcBorders>
              <w:top w:val="single" w:sz="4" w:space="0" w:color="auto"/>
              <w:left w:val="single" w:sz="4" w:space="0" w:color="auto"/>
              <w:bottom w:val="single" w:sz="4" w:space="0" w:color="auto"/>
              <w:right w:val="single" w:sz="4" w:space="0" w:color="auto"/>
            </w:tcBorders>
          </w:tcPr>
          <w:p w:rsidR="009E309F" w:rsidRDefault="009E309F">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Responds to the encounter and discusses personal experience that recognizes how reactions emerge from elements of the work.</w:t>
            </w:r>
          </w:p>
          <w:p w:rsidR="009E309F" w:rsidRDefault="009E309F">
            <w:pPr>
              <w:spacing w:before="100" w:beforeAutospacing="1" w:after="100" w:afterAutospacing="1"/>
              <w:rPr>
                <w:rFonts w:ascii="Times New Roman" w:hAnsi="Times New Roman" w:cs="Times New Roman"/>
                <w:sz w:val="20"/>
                <w:szCs w:val="20"/>
              </w:rPr>
            </w:pPr>
          </w:p>
        </w:tc>
        <w:tc>
          <w:tcPr>
            <w:tcW w:w="2808" w:type="dxa"/>
            <w:tcBorders>
              <w:top w:val="single" w:sz="4" w:space="0" w:color="auto"/>
              <w:left w:val="single" w:sz="4" w:space="0" w:color="auto"/>
              <w:bottom w:val="single" w:sz="4" w:space="0" w:color="auto"/>
              <w:right w:val="single" w:sz="4" w:space="0" w:color="auto"/>
            </w:tcBorders>
          </w:tcPr>
          <w:p w:rsidR="009E309F" w:rsidRDefault="009E309F">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 xml:space="preserve">Articulates an informed personal response to artistic works using relevant information and concepts. Draws critical connections between personal responses to the work and the responses of others.  </w:t>
            </w:r>
          </w:p>
          <w:p w:rsidR="009E309F" w:rsidRDefault="009E309F">
            <w:pPr>
              <w:spacing w:before="100" w:beforeAutospacing="1" w:after="100" w:afterAutospacing="1"/>
              <w:rPr>
                <w:rFonts w:ascii="Times New Roman" w:hAnsi="Times New Roman" w:cs="Times New Roman"/>
                <w:sz w:val="20"/>
                <w:szCs w:val="20"/>
              </w:rPr>
            </w:pPr>
          </w:p>
        </w:tc>
        <w:tc>
          <w:tcPr>
            <w:tcW w:w="2808" w:type="dxa"/>
            <w:tcBorders>
              <w:top w:val="single" w:sz="4" w:space="0" w:color="auto"/>
              <w:left w:val="single" w:sz="4" w:space="0" w:color="auto"/>
              <w:bottom w:val="single" w:sz="4" w:space="0" w:color="auto"/>
              <w:right w:val="single" w:sz="4" w:space="0" w:color="auto"/>
            </w:tcBorders>
          </w:tcPr>
          <w:p w:rsidR="009E309F" w:rsidRDefault="009E309F">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 xml:space="preserve">Demonstrates a keen awareness of the effects of personal context, culture, and </w:t>
            </w:r>
            <w:proofErr w:type="spellStart"/>
            <w:r>
              <w:rPr>
                <w:rFonts w:ascii="Times New Roman" w:hAnsi="Times New Roman" w:cs="Times New Roman"/>
                <w:sz w:val="20"/>
                <w:szCs w:val="20"/>
              </w:rPr>
              <w:t>positionality</w:t>
            </w:r>
            <w:proofErr w:type="spellEnd"/>
            <w:r>
              <w:rPr>
                <w:rFonts w:ascii="Times New Roman" w:hAnsi="Times New Roman" w:cs="Times New Roman"/>
                <w:sz w:val="20"/>
                <w:szCs w:val="20"/>
              </w:rPr>
              <w:t xml:space="preserve"> on the emotional response to the work, engaging multiple perspectives.</w:t>
            </w:r>
          </w:p>
          <w:p w:rsidR="009E309F" w:rsidRDefault="009E309F">
            <w:pPr>
              <w:spacing w:before="100" w:beforeAutospacing="1" w:after="100" w:afterAutospacing="1"/>
              <w:rPr>
                <w:rFonts w:ascii="Times New Roman" w:hAnsi="Times New Roman" w:cs="Times New Roman"/>
                <w:sz w:val="20"/>
                <w:szCs w:val="20"/>
              </w:rPr>
            </w:pPr>
          </w:p>
          <w:p w:rsidR="009E309F" w:rsidRDefault="009E309F">
            <w:pPr>
              <w:spacing w:before="100" w:beforeAutospacing="1" w:after="100" w:afterAutospacing="1"/>
              <w:rPr>
                <w:rFonts w:ascii="Times New Roman" w:hAnsi="Times New Roman" w:cs="Times New Roman"/>
                <w:sz w:val="20"/>
                <w:szCs w:val="20"/>
              </w:rPr>
            </w:pPr>
          </w:p>
        </w:tc>
      </w:tr>
    </w:tbl>
    <w:p w:rsidR="00F809B4" w:rsidRDefault="00F809B4">
      <w:bookmarkStart w:id="0" w:name="_GoBack"/>
      <w:bookmarkEnd w:id="0"/>
    </w:p>
    <w:sectPr w:rsidR="00F809B4" w:rsidSect="009E309F">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09F"/>
    <w:rsid w:val="00767469"/>
    <w:rsid w:val="009E309F"/>
    <w:rsid w:val="00F80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09F"/>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9E309F"/>
    <w:rPr>
      <w:rFonts w:eastAsiaTheme="minorEastAsia"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09F"/>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9E309F"/>
    <w:rPr>
      <w:rFonts w:eastAsiaTheme="minorEastAsia"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331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236</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CSUCI User</dc:creator>
  <cp:lastModifiedBy>CSUCI User</cp:lastModifiedBy>
  <cp:revision>1</cp:revision>
  <dcterms:created xsi:type="dcterms:W3CDTF">2014-07-02T18:33:00Z</dcterms:created>
  <dcterms:modified xsi:type="dcterms:W3CDTF">2014-07-02T18:34:00Z</dcterms:modified>
</cp:coreProperties>
</file>